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98871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RM300-PLT-AI-05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5-15°, 120W,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5-15°</w:t>
      </w:r>
    </w:p>
    <w:p>
      <w:pPr>
        <w:pStyle w:val="p2Style"/>
      </w:pPr>
      <w:r>
        <w:rPr>
          <w:rStyle w:val="textStyle"/>
        </w:rPr>
        <w:t xml:space="preserve">Leuchtweite bis zu 700m max. (IR-empfindliche Kamera)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"Platinum" Technologie für hohe Performance</w:t>
      </w:r>
    </w:p>
    <w:p>
      <w:pPr>
        <w:pStyle w:val="p2Style"/>
      </w:pPr>
      <w:r>
        <w:rPr>
          <w:rStyle w:val="textStyle"/>
        </w:rPr>
        <w:t xml:space="preserve">Permanente LED-Lebensdaueroptimierung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120W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5-15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max.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RM300-PLT-AI-05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2017-08-15T13:49:32+00:00</dcterms:created>
  <dcterms:modified xsi:type="dcterms:W3CDTF">2017-08-15T13:49:32+00:00</dcterms:modified>
  <dc:title/>
  <dc:description/>
  <dc:subject/>
  <cp:keywords/>
  <cp:category/>
</cp:coreProperties>
</file>