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215664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AIM-SYM7-VA-02</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Symphony 7, Outdoor Personen und Fahrzeug Tracking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Nahtlose Integration in Symphony 7</w:t>
      </w:r>
    </w:p>
    <w:p>
      <w:pPr>
        <w:pStyle w:val="p2Style"/>
      </w:pPr>
      <w:r>
        <w:rPr>
          <w:rStyle w:val="textStyle"/>
        </w:rPr>
        <w:t xml:space="preserve">Geeignet für alle Lizenzmodelle</w:t>
      </w:r>
    </w:p>
    <w:p>
      <w:pPr>
        <w:pStyle w:val="p2Style"/>
      </w:pPr>
      <w:r>
        <w:rPr>
          <w:rStyle w:val="textStyle"/>
        </w:rPr>
        <w:t xml:space="preserve">Business Intelligence</w:t>
      </w:r>
    </w:p>
    <w:p>
      <w:pPr>
        <w:pStyle w:val="p2Style"/>
      </w:pPr>
      <w:r>
        <w:rPr>
          <w:rStyle w:val="textStyle"/>
        </w:rPr>
        <w:t xml:space="preserve">Geringe Betriebskosten</w:t>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Symphony Version 7</w:t>
            </w:r>
          </w:p>
        </w:tc>
      </w:tr>
      <w:tr>
        <w:tc>
          <w:tcPr>
            <w:tcW w:w="4500" w:type="dxa"/>
            <w:vAlign w:val="top"/>
          </w:tcPr>
          <w:p>
            <w:pPr>
              <w:spacing w:after="10"/>
            </w:pPr>
            <w:r>
              <w:rPr>
                <w:rStyle w:val=""/>
              </w:rPr>
              <w:t xml:space="preserve">Verwaltbare Videoquellen max.</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Lizenz</w:t>
            </w:r>
          </w:p>
        </w:tc>
        <w:tc>
          <w:tcPr>
            <w:tcW w:w="4500" w:type="dxa"/>
            <w:vAlign w:val="top"/>
          </w:tcPr>
          <w:p>
            <w:pPr>
              <w:spacing w:after="10"/>
            </w:pPr>
            <w:r>
              <w:rPr>
                <w:rStyle w:val=""/>
              </w:rPr>
              <w:t xml:space="preserve">Vollversion</w:t>
            </w:r>
          </w:p>
        </w:tc>
      </w:tr>
      <w:tr>
        <w:tc>
          <w:tcPr>
            <w:tcW w:w="4500" w:type="dxa"/>
            <w:vAlign w:val="top"/>
          </w:tcPr>
          <w:p>
            <w:pPr>
              <w:spacing w:after="10"/>
            </w:pPr>
            <w:r>
              <w:rPr>
                <w:rStyle w:val=""/>
              </w:rPr>
              <w:t xml:space="preserve">Lizensierungsart</w:t>
            </w:r>
          </w:p>
        </w:tc>
        <w:tc>
          <w:tcPr>
            <w:tcW w:w="4500" w:type="dxa"/>
            <w:vAlign w:val="top"/>
          </w:tcPr>
          <w:p>
            <w:pPr>
              <w:spacing w:after="10"/>
            </w:pPr>
            <w:r>
              <w:rPr>
                <w:rStyle w:val=""/>
              </w:rPr>
              <w:t xml:space="preserve">pro Kamera</w:t>
            </w:r>
          </w:p>
        </w:tc>
      </w:tr>
      <w:tr>
        <w:tc>
          <w:tcPr>
            <w:tcW w:w="4500" w:type="dxa"/>
            <w:vAlign w:val="top"/>
          </w:tcPr>
          <w:p>
            <w:pPr>
              <w:spacing w:after="10"/>
            </w:pPr>
            <w:r>
              <w:rPr>
                <w:rStyle w:val=""/>
              </w:rPr>
              <w:t xml:space="preserve">Analysefunktionen</w:t>
            </w:r>
          </w:p>
        </w:tc>
        <w:tc>
          <w:tcPr>
            <w:tcW w:w="4500" w:type="dxa"/>
            <w:vAlign w:val="top"/>
          </w:tcPr>
          <w:p>
            <w:pPr>
              <w:spacing w:after="10"/>
            </w:pPr>
            <w:r>
              <w:rPr>
                <w:rStyle w:val=""/>
              </w:rPr>
              <w:t xml:space="preserve">Bewegungsanalyse, Bewegungsverfolgung, Objektklassifizierung</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S</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AIM-SYM7-VA-02</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Erkennt und verfolgt alle beweglichen Objekte und klassiXziert diese als Person, Fahrzeug oder unbekanntes Objekt. Zusätzlich werden Bewegungspfade aufgezeichnet, um exakt zu wissen woher ein Objekt kam, wie es sich durch das Bild bewegt hat und an welcher Stelle es das Kamerasichtfeld verlassen hat.</w:t>
      </w:r>
    </w:p>
    <w:p>
      <w:pPr>
        <w:pStyle w:val="p2Style"/>
      </w:pPr>
      <w:r>
        <w:rPr>
          <w:rStyle w:val="head2Style"/>
        </w:rPr>
        <w:t xml:space="preserve"/>
      </w:r>
    </w:p>
    <w:p>
      <w:pPr>
        <w:pStyle w:val="p2Style"/>
      </w:pPr>
      <w:r>
        <w:rPr>
          <w:rStyle w:val="head2Style"/>
        </w:rPr>
        <w:t xml:space="preserve">Zubehör</w:t>
      </w:r>
    </w:p>
    <w:tbl>
      <w:tblPr>
        <w:tblStyle w:val="related_products"/>
      </w:tblPr>
      <w:tr>
        <w:tc>
          <w:tcPr>
            <w:tcW w:w="4500" w:type="dxa"/>
            <w:vAlign w:val="top"/>
          </w:tcPr>
          <w:p>
            <w:pPr>
              <w:spacing w:after="10"/>
            </w:pPr>
            <w:r>
              <w:rPr>
                <w:rStyle w:val=""/>
              </w:rPr>
              <w:t xml:space="preserve">AIM-SYM7-VA-MS-1Y</w:t>
            </w:r>
          </w:p>
        </w:tc>
        <w:tc>
          <w:tcPr>
            <w:tcW w:w="4500" w:type="dxa"/>
            <w:vAlign w:val="top"/>
          </w:tcPr>
          <w:p>
            <w:pPr>
              <w:spacing w:after="10"/>
            </w:pPr>
            <w:r>
              <w:rPr>
                <w:rStyle w:val=""/>
              </w:rPr>
              <w:t xml:space="preserve">1 Jahr Software Maintenance, für Aimetis Symphony 7 Analytics</w:t>
            </w:r>
          </w:p>
        </w:tc>
      </w:tr>
      <w:tr>
        <w:tc>
          <w:tcPr>
            <w:tcW w:w="4500" w:type="dxa"/>
            <w:vAlign w:val="top"/>
          </w:tcPr>
          <w:p>
            <w:pPr>
              <w:spacing w:after="10"/>
            </w:pPr>
            <w:r>
              <w:rPr>
                <w:rStyle w:val=""/>
              </w:rPr>
              <w:t xml:space="preserve">AIM-SYM7-VA-MS-2Y</w:t>
            </w:r>
          </w:p>
        </w:tc>
        <w:tc>
          <w:tcPr>
            <w:tcW w:w="4500" w:type="dxa"/>
            <w:vAlign w:val="top"/>
          </w:tcPr>
          <w:p>
            <w:pPr>
              <w:spacing w:after="10"/>
            </w:pPr>
            <w:r>
              <w:rPr>
                <w:rStyle w:val=""/>
              </w:rPr>
              <w:t xml:space="preserve">2 Jahre Software Maintenance, für Aimetis Symphony 7 Analytics</w:t>
            </w:r>
          </w:p>
        </w:tc>
      </w:tr>
      <w:tr>
        <w:tc>
          <w:tcPr>
            <w:tcW w:w="4500" w:type="dxa"/>
            <w:vAlign w:val="top"/>
          </w:tcPr>
          <w:p>
            <w:pPr>
              <w:spacing w:after="10"/>
            </w:pPr>
            <w:r>
              <w:rPr>
                <w:rStyle w:val=""/>
              </w:rPr>
              <w:t xml:space="preserve">AIM-SYM7-VA-MS-3Y</w:t>
            </w:r>
          </w:p>
        </w:tc>
        <w:tc>
          <w:tcPr>
            <w:tcW w:w="4500" w:type="dxa"/>
            <w:vAlign w:val="top"/>
          </w:tcPr>
          <w:p>
            <w:pPr>
              <w:spacing w:after="10"/>
            </w:pPr>
            <w:r>
              <w:rPr>
                <w:rStyle w:val=""/>
              </w:rPr>
              <w:t xml:space="preserve">3 Jahre Software Maintenance, für Aimetis Symphony 7 Analytics</w:t>
            </w:r>
          </w:p>
        </w:tc>
      </w:tr>
      <w:tr>
        <w:tc>
          <w:tcPr>
            <w:tcW w:w="4500" w:type="dxa"/>
            <w:vAlign w:val="top"/>
          </w:tcPr>
          <w:p>
            <w:pPr>
              <w:spacing w:after="10"/>
            </w:pPr>
            <w:r>
              <w:rPr>
                <w:rStyle w:val=""/>
              </w:rPr>
              <w:t xml:space="preserve">AIM-SYM7-VA-MS-4Y</w:t>
            </w:r>
          </w:p>
        </w:tc>
        <w:tc>
          <w:tcPr>
            <w:tcW w:w="4500" w:type="dxa"/>
            <w:vAlign w:val="top"/>
          </w:tcPr>
          <w:p>
            <w:pPr>
              <w:spacing w:after="10"/>
            </w:pPr>
            <w:r>
              <w:rPr>
                <w:rStyle w:val=""/>
              </w:rPr>
              <w:t xml:space="preserve">4 Jahre Software Maintenance, für Aimetis Symphony 7 Analytics</w:t>
            </w:r>
          </w:p>
        </w:tc>
      </w:tr>
      <w:tr>
        <w:tc>
          <w:tcPr>
            <w:tcW w:w="4500" w:type="dxa"/>
            <w:vAlign w:val="top"/>
          </w:tcPr>
          <w:p>
            <w:pPr>
              <w:spacing w:after="10"/>
            </w:pPr>
            <w:r>
              <w:rPr>
                <w:rStyle w:val=""/>
              </w:rPr>
              <w:t xml:space="preserve">AIM-SYM7-VA-MS-5Y</w:t>
            </w:r>
          </w:p>
        </w:tc>
        <w:tc>
          <w:tcPr>
            <w:tcW w:w="4500" w:type="dxa"/>
            <w:vAlign w:val="top"/>
          </w:tcPr>
          <w:p>
            <w:pPr>
              <w:spacing w:after="10"/>
            </w:pPr>
            <w:r>
              <w:rPr>
                <w:rStyle w:val=""/>
              </w:rPr>
              <w:t xml:space="preserve">5 Jahre Software Maintenance, für Aimetis Symphony 7 Analytics</w:t>
            </w:r>
          </w:p>
        </w:tc>
      </w:tr>
      <w:tr>
        <w:tc>
          <w:tcPr>
            <w:tcW w:w="4500" w:type="dxa"/>
            <w:vAlign w:val="top"/>
          </w:tcPr>
          <w:p>
            <w:pPr>
              <w:spacing w:after="10"/>
            </w:pPr>
            <w:r>
              <w:rPr>
                <w:rStyle w:val=""/>
              </w:rPr>
              <w:t xml:space="preserve">AIM-SYM7-VA-MS-CD</w:t>
            </w:r>
          </w:p>
        </w:tc>
        <w:tc>
          <w:tcPr>
            <w:tcW w:w="4500" w:type="dxa"/>
            <w:vAlign w:val="top"/>
          </w:tcPr>
          <w:p>
            <w:pPr>
              <w:spacing w:after="10"/>
            </w:pPr>
            <w:r>
              <w:rPr>
                <w:rStyle w:val=""/>
              </w:rPr>
              <w:t xml:space="preserve">1 Tag Software Maintenance, für Aimetis Symphony 7 Analytics</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2017-08-16T07:33:30+00:00</dcterms:created>
  <dcterms:modified xsi:type="dcterms:W3CDTF">2017-08-16T07:33:30+00:00</dcterms:modified>
  <dc:title/>
  <dc:description/>
  <dc:subject/>
  <cp:keywords/>
  <cp:category/>
</cp:coreProperties>
</file>